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0E6404" w:rsidRDefault="000E6404" w:rsidP="000E640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6 к приказу</w:t>
            </w:r>
          </w:p>
          <w:p w:rsidR="000E6404" w:rsidRDefault="00BF7BDB" w:rsidP="00BF7BDB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0E6404">
              <w:rPr>
                <w:szCs w:val="28"/>
              </w:rPr>
              <w:t xml:space="preserve">от </w:t>
            </w:r>
            <w:r>
              <w:rPr>
                <w:szCs w:val="28"/>
              </w:rPr>
              <w:t>09.01.2019  № 2</w:t>
            </w:r>
          </w:p>
          <w:p w:rsidR="005D1FCD" w:rsidRDefault="005D1FCD" w:rsidP="005D1FCD">
            <w:pPr>
              <w:jc w:val="left"/>
            </w:pPr>
          </w:p>
        </w:tc>
      </w:tr>
    </w:tbl>
    <w:p w:rsidR="007A0362" w:rsidRPr="007A0362" w:rsidRDefault="007A0362" w:rsidP="000E6404">
      <w:pPr>
        <w:jc w:val="both"/>
      </w:pPr>
    </w:p>
    <w:p w:rsidR="005D1FCD" w:rsidRPr="00A97EFB" w:rsidRDefault="005D1FCD" w:rsidP="005D1FCD">
      <w:pPr>
        <w:rPr>
          <w:b/>
        </w:rPr>
      </w:pPr>
      <w:r w:rsidRPr="005D1FCD">
        <w:rPr>
          <w:b/>
        </w:rPr>
        <w:t>П</w:t>
      </w:r>
      <w:r w:rsidR="000E6404">
        <w:rPr>
          <w:b/>
        </w:rPr>
        <w:t>оложение об оценке коррупционных рисков</w:t>
      </w:r>
    </w:p>
    <w:p w:rsidR="005D1FCD" w:rsidRDefault="006E4672" w:rsidP="005D1FCD">
      <w:pPr>
        <w:rPr>
          <w:b/>
        </w:rPr>
      </w:pPr>
      <w:r>
        <w:rPr>
          <w:b/>
        </w:rPr>
        <w:t xml:space="preserve">муниципального  бюджетного  учреждения культуры </w:t>
      </w:r>
    </w:p>
    <w:p w:rsidR="006E4672" w:rsidRPr="005D1FCD" w:rsidRDefault="006E4672" w:rsidP="005D1FCD">
      <w:r>
        <w:rPr>
          <w:b/>
        </w:rPr>
        <w:t>«Устюженский  краеведческий  музей»</w:t>
      </w:r>
    </w:p>
    <w:p w:rsidR="000E6404" w:rsidRDefault="000E6404" w:rsidP="000E6404">
      <w:pPr>
        <w:pStyle w:val="a4"/>
        <w:jc w:val="both"/>
        <w:rPr>
          <w:b/>
        </w:rPr>
      </w:pPr>
    </w:p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086818" w:rsidRDefault="0027445E" w:rsidP="00086818">
      <w:pPr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</w:t>
      </w:r>
      <w:proofErr w:type="spellStart"/>
      <w:r w:rsidR="00DF5A63" w:rsidRPr="00DF5A63">
        <w:t>антикоррупционной</w:t>
      </w:r>
      <w:proofErr w:type="spellEnd"/>
      <w:r w:rsidR="00DF5A63" w:rsidRPr="00DF5A63">
        <w:t xml:space="preserve"> политики </w:t>
      </w:r>
      <w:r w:rsidR="006E4672">
        <w:rPr>
          <w:szCs w:val="28"/>
        </w:rPr>
        <w:t xml:space="preserve">муниципального  бюджетного  учреждения  культуры  «Устюженский  краеведческий  музей» </w:t>
      </w:r>
      <w:r w:rsidR="0037094A" w:rsidRPr="00DB49FB">
        <w:rPr>
          <w:szCs w:val="28"/>
        </w:rPr>
        <w:t xml:space="preserve">(далее – </w:t>
      </w:r>
      <w:r w:rsidR="006E4672">
        <w:rPr>
          <w:szCs w:val="28"/>
        </w:rPr>
        <w:t xml:space="preserve">музей), </w:t>
      </w:r>
      <w:r w:rsidR="00DF5A63" w:rsidRPr="00DF5A63">
        <w:t>позволяющая обеспечить соответствие</w:t>
      </w:r>
      <w:r w:rsidR="006E4672">
        <w:t xml:space="preserve"> </w:t>
      </w:r>
      <w:r w:rsidR="00DF5A63" w:rsidRPr="00DF5A63">
        <w:t xml:space="preserve">реализуемых </w:t>
      </w:r>
      <w:proofErr w:type="spellStart"/>
      <w:r w:rsidR="00DF5A63" w:rsidRPr="00DF5A63">
        <w:t>антикоррупционных</w:t>
      </w:r>
      <w:proofErr w:type="spellEnd"/>
      <w:r w:rsidR="00DF5A63" w:rsidRPr="00DF5A63">
        <w:t xml:space="preserve"> мероприятий специфике деятельности </w:t>
      </w:r>
      <w:r w:rsidR="006E4672">
        <w:rPr>
          <w:szCs w:val="28"/>
        </w:rPr>
        <w:t>музея</w:t>
      </w:r>
      <w:r w:rsidR="00DF5A63" w:rsidRPr="00DF5A63">
        <w:t xml:space="preserve"> и</w:t>
      </w:r>
      <w:r w:rsidR="006E4672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6E4672">
        <w:t xml:space="preserve"> </w:t>
      </w:r>
      <w:r w:rsidR="00DF5A63" w:rsidRPr="00DF5A63">
        <w:t xml:space="preserve">коррупции в </w:t>
      </w:r>
      <w:r w:rsidR="006E4672">
        <w:rPr>
          <w:szCs w:val="28"/>
        </w:rPr>
        <w:t>музее</w:t>
      </w:r>
      <w:r w:rsidR="00DF5A63" w:rsidRPr="00DF5A63">
        <w:t>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 w:rsidR="006E4672">
        <w:t xml:space="preserve"> </w:t>
      </w:r>
      <w:r w:rsidRPr="00DF5A63">
        <w:t xml:space="preserve">видов деятельности </w:t>
      </w:r>
      <w:r w:rsidR="006E4672">
        <w:rPr>
          <w:szCs w:val="28"/>
        </w:rPr>
        <w:t>музея</w:t>
      </w:r>
      <w:r w:rsidRPr="00DF5A63">
        <w:t>, при реализации которых наиболее высока вероятность</w:t>
      </w:r>
      <w:r w:rsidR="006E4672">
        <w:t xml:space="preserve"> </w:t>
      </w:r>
      <w:r w:rsidRPr="00DF5A63">
        <w:t xml:space="preserve">совершения работниками </w:t>
      </w:r>
      <w:r w:rsidR="006E4672">
        <w:rPr>
          <w:szCs w:val="28"/>
        </w:rPr>
        <w:t xml:space="preserve">музея </w:t>
      </w:r>
      <w:r w:rsidRPr="00DF5A63">
        <w:t>коррупционных правонарушений, как в целях получения</w:t>
      </w:r>
      <w:r w:rsidR="006E4672">
        <w:t xml:space="preserve"> </w:t>
      </w:r>
      <w:r w:rsidRPr="00DF5A63">
        <w:t xml:space="preserve">личной выгоды, так и в целях получения выгоды </w:t>
      </w:r>
      <w:r w:rsidR="006E4672">
        <w:rPr>
          <w:szCs w:val="28"/>
        </w:rPr>
        <w:t>музеем</w:t>
      </w:r>
      <w:r w:rsidRPr="00DF5A63">
        <w:t>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 xml:space="preserve">.Настоящее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</w:t>
      </w:r>
      <w:r w:rsidR="006E4672">
        <w:t xml:space="preserve">Постановления  администрации  Устюженского  муниципального  района  </w:t>
      </w:r>
      <w:proofErr w:type="gramStart"/>
      <w:r w:rsidR="006E4672">
        <w:t>от</w:t>
      </w:r>
      <w:proofErr w:type="gramEnd"/>
      <w:r w:rsidR="006E4672">
        <w:t xml:space="preserve">  21.09.2015  № 735  «Об  утверждении  устава  муниципального  бюджетного  учреждения  культуры  «Устюженский  краеведческий  музей»  в  новой  редакции»</w:t>
      </w:r>
      <w:r w:rsidR="002E6707">
        <w:t xml:space="preserve"> и других локальных актов </w:t>
      </w:r>
      <w:r w:rsidR="006E4672">
        <w:rPr>
          <w:szCs w:val="28"/>
        </w:rPr>
        <w:t xml:space="preserve"> музея.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 xml:space="preserve">в деятельности </w:t>
      </w:r>
      <w:r w:rsidR="006E4672">
        <w:rPr>
          <w:sz w:val="28"/>
          <w:szCs w:val="28"/>
        </w:rPr>
        <w:t>музея</w:t>
      </w:r>
      <w:r w:rsidR="0037094A" w:rsidRPr="0037094A">
        <w:rPr>
          <w:sz w:val="28"/>
          <w:szCs w:val="28"/>
        </w:rPr>
        <w:t xml:space="preserve"> </w:t>
      </w:r>
      <w:r w:rsidR="00105C91">
        <w:rPr>
          <w:rFonts w:eastAsia="Times New Roman" w:cs="Calibri"/>
          <w:color w:val="auto"/>
          <w:sz w:val="28"/>
          <w:szCs w:val="22"/>
        </w:rPr>
        <w:t xml:space="preserve">проводится как на стадии разработки </w:t>
      </w:r>
      <w:proofErr w:type="spellStart"/>
      <w:r w:rsidR="00105C91">
        <w:rPr>
          <w:rFonts w:eastAsia="Times New Roman" w:cs="Calibri"/>
          <w:color w:val="auto"/>
          <w:sz w:val="28"/>
          <w:szCs w:val="22"/>
        </w:rPr>
        <w:t>антикоррупционной</w:t>
      </w:r>
      <w:proofErr w:type="spellEnd"/>
      <w:r w:rsidR="00105C91">
        <w:rPr>
          <w:rFonts w:eastAsia="Times New Roman" w:cs="Calibri"/>
          <w:color w:val="auto"/>
          <w:sz w:val="28"/>
          <w:szCs w:val="22"/>
        </w:rPr>
        <w:t xml:space="preserve">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 xml:space="preserve">Оценку коррупционных рисков в деятельности </w:t>
      </w:r>
      <w:r w:rsidR="006E4672">
        <w:rPr>
          <w:sz w:val="28"/>
          <w:szCs w:val="28"/>
        </w:rPr>
        <w:t>музея</w:t>
      </w:r>
      <w:r w:rsidR="008D38BE">
        <w:rPr>
          <w:rFonts w:eastAsia="Times New Roman" w:cs="Calibri"/>
          <w:color w:val="auto"/>
          <w:sz w:val="28"/>
          <w:szCs w:val="22"/>
        </w:rPr>
        <w:t xml:space="preserve"> осуществляет </w:t>
      </w:r>
      <w:r w:rsidR="006E4672">
        <w:rPr>
          <w:sz w:val="28"/>
          <w:szCs w:val="28"/>
        </w:rPr>
        <w:t>сотрудник</w:t>
      </w:r>
      <w:r w:rsidR="0037094A" w:rsidRPr="00FC20BF">
        <w:rPr>
          <w:sz w:val="28"/>
          <w:szCs w:val="28"/>
        </w:rPr>
        <w:t>, ответственный за работу по профилактике коррупционных правонарушений</w:t>
      </w:r>
      <w:r w:rsidR="006E4672">
        <w:rPr>
          <w:sz w:val="28"/>
          <w:szCs w:val="28"/>
        </w:rPr>
        <w:t>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 xml:space="preserve">и </w:t>
      </w:r>
      <w:r w:rsidR="007D1CA8">
        <w:rPr>
          <w:sz w:val="28"/>
          <w:szCs w:val="28"/>
        </w:rPr>
        <w:t>музея</w:t>
      </w:r>
      <w:r>
        <w:rPr>
          <w:rFonts w:eastAsia="Times New Roman" w:cs="Calibri"/>
          <w:color w:val="auto"/>
          <w:sz w:val="28"/>
          <w:szCs w:val="22"/>
        </w:rPr>
        <w:t>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>составные элементы процессов (</w:t>
      </w:r>
      <w:proofErr w:type="spellStart"/>
      <w:r>
        <w:rPr>
          <w:rFonts w:eastAsia="Times New Roman" w:cs="Calibri"/>
          <w:color w:val="auto"/>
          <w:sz w:val="28"/>
          <w:szCs w:val="22"/>
        </w:rPr>
        <w:t>подпроцессы</w:t>
      </w:r>
      <w:proofErr w:type="spellEnd"/>
      <w:r>
        <w:rPr>
          <w:rFonts w:eastAsia="Times New Roman" w:cs="Calibri"/>
          <w:color w:val="auto"/>
          <w:sz w:val="28"/>
          <w:szCs w:val="22"/>
        </w:rPr>
        <w:t>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</w:t>
      </w:r>
      <w:proofErr w:type="spellStart"/>
      <w:r w:rsidR="000B621D" w:rsidRPr="000B621D">
        <w:rPr>
          <w:rFonts w:cs="Calibri"/>
          <w:sz w:val="28"/>
          <w:szCs w:val="22"/>
          <w:lang w:eastAsia="en-US"/>
        </w:rPr>
        <w:t>подпроцессы</w:t>
      </w:r>
      <w:proofErr w:type="spellEnd"/>
      <w:r w:rsidR="000B621D" w:rsidRPr="000B621D">
        <w:rPr>
          <w:rFonts w:cs="Calibri"/>
          <w:sz w:val="28"/>
          <w:szCs w:val="22"/>
          <w:lang w:eastAsia="en-US"/>
        </w:rPr>
        <w:t>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proofErr w:type="gramStart"/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 xml:space="preserve">для </w:t>
      </w:r>
      <w:proofErr w:type="spellStart"/>
      <w:r w:rsidR="00D23314">
        <w:rPr>
          <w:rFonts w:cs="Calibri"/>
          <w:sz w:val="28"/>
          <w:szCs w:val="22"/>
          <w:lang w:eastAsia="en-US"/>
        </w:rPr>
        <w:t>подпроцессов</w:t>
      </w:r>
      <w:proofErr w:type="spellEnd"/>
      <w:r w:rsidR="00D23314">
        <w:rPr>
          <w:rFonts w:cs="Calibri"/>
          <w:sz w:val="28"/>
          <w:szCs w:val="22"/>
          <w:lang w:eastAsia="en-US"/>
        </w:rPr>
        <w:t>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7D1CA8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  <w:proofErr w:type="gramEnd"/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</w:t>
      </w:r>
      <w:r w:rsidR="007D1CA8">
        <w:rPr>
          <w:sz w:val="28"/>
          <w:szCs w:val="28"/>
        </w:rPr>
        <w:t>музея</w:t>
      </w:r>
      <w:r>
        <w:rPr>
          <w:rFonts w:cs="Calibri"/>
          <w:sz w:val="28"/>
          <w:szCs w:val="22"/>
          <w:lang w:eastAsia="en-US"/>
        </w:rPr>
        <w:t xml:space="preserve"> или </w:t>
      </w:r>
      <w:r w:rsidR="007D1CA8">
        <w:rPr>
          <w:sz w:val="28"/>
          <w:szCs w:val="28"/>
        </w:rPr>
        <w:t xml:space="preserve">музеем </w:t>
      </w:r>
      <w:r>
        <w:rPr>
          <w:rFonts w:cs="Calibri"/>
          <w:sz w:val="28"/>
          <w:szCs w:val="22"/>
          <w:lang w:eastAsia="en-US"/>
        </w:rPr>
        <w:t xml:space="preserve">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 w:rsidR="007D1CA8">
        <w:rPr>
          <w:sz w:val="28"/>
          <w:szCs w:val="28"/>
        </w:rPr>
        <w:t>музее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</w:t>
      </w:r>
      <w:r w:rsidR="007D1CA8">
        <w:rPr>
          <w:szCs w:val="28"/>
        </w:rPr>
        <w:t>музея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1302EB" w:rsidRPr="00056D48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 w:rsidRPr="00056D48">
        <w:t>С</w:t>
      </w:r>
      <w:r w:rsidR="00D706D9" w:rsidRPr="00056D48">
        <w:t>формир</w:t>
      </w:r>
      <w:r w:rsidRPr="00056D48">
        <w:t>овать</w:t>
      </w:r>
      <w:r w:rsidR="00D706D9" w:rsidRPr="00056D48">
        <w:t xml:space="preserve"> перечень должностей, связанных с высоким коррупционным риском. В отношении работников </w:t>
      </w:r>
      <w:r w:rsidR="007D1CA8">
        <w:rPr>
          <w:szCs w:val="28"/>
        </w:rPr>
        <w:t>музея</w:t>
      </w:r>
      <w:r w:rsidR="00D706D9" w:rsidRPr="00056D48">
        <w:t xml:space="preserve">, замещающих такие должности, устанавливаются специальные </w:t>
      </w:r>
      <w:proofErr w:type="spellStart"/>
      <w:r w:rsidR="00D706D9" w:rsidRPr="00056D48">
        <w:t>антикоррупционные</w:t>
      </w:r>
      <w:proofErr w:type="spellEnd"/>
      <w:r w:rsidR="00D706D9" w:rsidRPr="00056D48">
        <w:t xml:space="preserve"> процедуры и требования </w:t>
      </w:r>
      <w:r w:rsidR="00D706D9" w:rsidRPr="00056D48">
        <w:rPr>
          <w:i/>
        </w:rPr>
        <w:t>(</w:t>
      </w:r>
      <w:r w:rsidRPr="00056D48">
        <w:rPr>
          <w:i/>
        </w:rPr>
        <w:t>представление сведений о доходах, имуществе и обязательствах имущественного характера).</w:t>
      </w:r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проведение обучающих мероприятий для работников </w:t>
      </w:r>
      <w:r w:rsidR="007D1CA8">
        <w:rPr>
          <w:szCs w:val="28"/>
        </w:rPr>
        <w:t>музея</w:t>
      </w:r>
      <w:r w:rsidRPr="00AB0D14">
        <w:rPr>
          <w:rFonts w:cs="Times New Roman"/>
        </w:rPr>
        <w:t xml:space="preserve">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AB0D14">
        <w:rPr>
          <w:rFonts w:cs="Times New Roman"/>
        </w:rPr>
        <w:t>согласование с</w:t>
      </w:r>
      <w:r w:rsidR="007D1CA8">
        <w:rPr>
          <w:rFonts w:cs="Times New Roman"/>
        </w:rPr>
        <w:t xml:space="preserve"> управлением  по  культуре, туризму, спорту  и  молодежной  политике</w:t>
      </w:r>
      <w:r w:rsidRPr="00AB0D14">
        <w:rPr>
          <w:rFonts w:cs="Times New Roman"/>
        </w:rPr>
        <w:t xml:space="preserve"> </w:t>
      </w:r>
      <w:r w:rsidR="007D1CA8">
        <w:rPr>
          <w:rFonts w:cs="Times New Roman"/>
        </w:rPr>
        <w:t>администрации</w:t>
      </w:r>
      <w:r w:rsidR="00056D48">
        <w:rPr>
          <w:rFonts w:cs="Times New Roman"/>
        </w:rPr>
        <w:t xml:space="preserve"> Устюженского муниципального района</w:t>
      </w:r>
      <w:r>
        <w:rPr>
          <w:rFonts w:cs="Times New Roman"/>
        </w:rPr>
        <w:t>, осуществляющ</w:t>
      </w:r>
      <w:r w:rsidR="007D1CA8">
        <w:rPr>
          <w:rFonts w:cs="Times New Roman"/>
        </w:rPr>
        <w:t>ем</w:t>
      </w:r>
      <w:r w:rsidR="00056D48">
        <w:rPr>
          <w:rFonts w:cs="Times New Roman"/>
        </w:rPr>
        <w:t xml:space="preserve"> </w:t>
      </w:r>
      <w:r>
        <w:rPr>
          <w:rFonts w:cs="Times New Roman"/>
        </w:rPr>
        <w:t xml:space="preserve">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  <w:proofErr w:type="gramEnd"/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</w:t>
      </w:r>
      <w:proofErr w:type="gramStart"/>
      <w:r w:rsidRPr="00AB0D14">
        <w:rPr>
          <w:rFonts w:cs="Times New Roman"/>
        </w:rPr>
        <w:t>контроля за</w:t>
      </w:r>
      <w:proofErr w:type="gramEnd"/>
      <w:r w:rsidRPr="00AB0D14">
        <w:rPr>
          <w:rFonts w:cs="Times New Roman"/>
        </w:rPr>
        <w:t xml:space="preserve"> исполнением работниками </w:t>
      </w:r>
      <w:r w:rsidR="007D1CA8">
        <w:rPr>
          <w:szCs w:val="28"/>
        </w:rPr>
        <w:t>музея</w:t>
      </w:r>
      <w:r w:rsidRPr="00AB0D14">
        <w:rPr>
          <w:rFonts w:cs="Times New Roman"/>
        </w:rPr>
        <w:t xml:space="preserve">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</w:t>
      </w:r>
      <w:proofErr w:type="spellStart"/>
      <w:r w:rsidRPr="00AB0D14">
        <w:rPr>
          <w:rFonts w:cs="Times New Roman"/>
        </w:rPr>
        <w:t>подпроцессов</w:t>
      </w:r>
      <w:proofErr w:type="spellEnd"/>
      <w:r w:rsidRPr="00AB0D14">
        <w:rPr>
          <w:rFonts w:cs="Times New Roman"/>
        </w:rPr>
        <w:t xml:space="preserve">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использование видео- и звукозаписывающих устройств в местах </w:t>
      </w:r>
      <w:r w:rsidRPr="00AB0D14">
        <w:rPr>
          <w:rFonts w:cs="Times New Roman"/>
        </w:rPr>
        <w:lastRenderedPageBreak/>
        <w:t>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t>3.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 w:rsidR="007D1CA8">
        <w:t xml:space="preserve"> </w:t>
      </w:r>
      <w:r w:rsidR="007D1CA8">
        <w:rPr>
          <w:szCs w:val="28"/>
        </w:rPr>
        <w:t>музея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proofErr w:type="spellStart"/>
      <w:r w:rsidRPr="00056321">
        <w:t>коррупционно-опасны</w:t>
      </w:r>
      <w:r>
        <w:t>х</w:t>
      </w:r>
      <w:r w:rsidR="009D382B">
        <w:t>функций</w:t>
      </w:r>
      <w:proofErr w:type="spellEnd"/>
      <w:r w:rsidR="009D382B">
        <w:t xml:space="preserve">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</w:t>
      </w:r>
      <w:r w:rsidR="007D1CA8">
        <w:rPr>
          <w:szCs w:val="28"/>
        </w:rPr>
        <w:t>музее</w:t>
      </w:r>
      <w:r>
        <w:t xml:space="preserve"> в 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 xml:space="preserve">, и утверждается руководителем </w:t>
      </w:r>
      <w:r w:rsidR="007D1CA8">
        <w:rPr>
          <w:szCs w:val="28"/>
        </w:rPr>
        <w:t>музея</w:t>
      </w:r>
      <w:r>
        <w:t>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 xml:space="preserve">по результатам ежегодного проведения оценки коррупционных рисков в </w:t>
      </w:r>
      <w:r w:rsidR="007D1CA8">
        <w:rPr>
          <w:szCs w:val="28"/>
        </w:rPr>
        <w:t>музее</w:t>
      </w:r>
      <w:r w:rsidRPr="00EA31D6">
        <w:rPr>
          <w:rFonts w:cs="Times New Roman"/>
        </w:rPr>
        <w:t>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</w:t>
      </w:r>
      <w:r w:rsidR="007D1CA8">
        <w:rPr>
          <w:szCs w:val="28"/>
        </w:rPr>
        <w:t>музея</w:t>
      </w:r>
      <w:r w:rsidRPr="00EA31D6">
        <w:rPr>
          <w:rFonts w:cs="Times New Roman"/>
        </w:rPr>
        <w:t>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E8550B">
        <w:rPr>
          <w:rFonts w:cs="Times New Roman"/>
        </w:rPr>
        <w:t xml:space="preserve"> музея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E8550B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 xml:space="preserve">коррупции в </w:t>
      </w:r>
      <w:r w:rsidR="00E8550B">
        <w:rPr>
          <w:szCs w:val="28"/>
        </w:rPr>
        <w:t>музее</w:t>
      </w:r>
      <w:r w:rsidRPr="00EA31D6">
        <w:rPr>
          <w:rFonts w:cs="Times New Roman"/>
        </w:rPr>
        <w:t xml:space="preserve">. </w:t>
      </w:r>
    </w:p>
    <w:p w:rsidR="00F403AF" w:rsidRDefault="00F403AF" w:rsidP="00411DEF">
      <w:pPr>
        <w:jc w:val="both"/>
      </w:pP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_______</w:t>
      </w: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0E6404" w:rsidRDefault="00411DEF" w:rsidP="000E6404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коррупционных рисков </w:t>
      </w:r>
      <w:proofErr w:type="gramStart"/>
      <w:r w:rsidRPr="001C2E8F">
        <w:rPr>
          <w:szCs w:val="28"/>
        </w:rPr>
        <w:t>в</w:t>
      </w:r>
      <w:proofErr w:type="gramEnd"/>
    </w:p>
    <w:p w:rsidR="00411DEF" w:rsidRPr="001C2E8F" w:rsidRDefault="000E6404" w:rsidP="000E6404">
      <w:pPr>
        <w:ind w:firstLine="708"/>
        <w:jc w:val="right"/>
        <w:rPr>
          <w:szCs w:val="28"/>
        </w:rPr>
      </w:pPr>
      <w:proofErr w:type="gramStart"/>
      <w:r>
        <w:rPr>
          <w:szCs w:val="28"/>
        </w:rPr>
        <w:t>управлении</w:t>
      </w:r>
      <w:proofErr w:type="gramEnd"/>
      <w:r>
        <w:rPr>
          <w:szCs w:val="28"/>
        </w:rPr>
        <w:t xml:space="preserve"> образования 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819"/>
      </w:tblGrid>
      <w:tr w:rsidR="00056D48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Default="00056D48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Заместитель главы администрации по социальным вопросам – начальник управления образования</w:t>
            </w:r>
          </w:p>
          <w:p w:rsidR="00056D48" w:rsidRDefault="00056D48" w:rsidP="00340F7E">
            <w:pPr>
              <w:jc w:val="left"/>
              <w:rPr>
                <w:rFonts w:cs="Times New Roman"/>
                <w:sz w:val="24"/>
                <w:szCs w:val="28"/>
                <w:vertAlign w:val="superscript"/>
              </w:rPr>
            </w:pPr>
          </w:p>
          <w:p w:rsidR="00411DEF" w:rsidRDefault="00411DEF" w:rsidP="00340F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</w:t>
            </w:r>
            <w:r w:rsidR="00F51899" w:rsidRPr="00F51899">
              <w:rPr>
                <w:rFonts w:cs="Times New Roman"/>
                <w:szCs w:val="28"/>
                <w:u w:val="single"/>
              </w:rPr>
              <w:t>Левина Г. В.</w:t>
            </w:r>
          </w:p>
          <w:p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</w:p>
          <w:p w:rsidR="00411DEF" w:rsidRDefault="00411DEF" w:rsidP="00AA782C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056D48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B82001">
      <w:pPr>
        <w:jc w:val="both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Pr="00366C73" w:rsidRDefault="00366C73" w:rsidP="00AA782C">
      <w:pPr>
        <w:rPr>
          <w:b/>
          <w:sz w:val="20"/>
        </w:rPr>
      </w:pPr>
      <w:r w:rsidRPr="00366C73">
        <w:rPr>
          <w:b/>
        </w:rPr>
        <w:t>управления образования администрации Устюженского муниципального района</w:t>
      </w: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66C73" w:rsidTr="00AA782C">
        <w:tc>
          <w:tcPr>
            <w:tcW w:w="3227" w:type="dxa"/>
          </w:tcPr>
          <w:p w:rsidR="00366C73" w:rsidRDefault="00366C73" w:rsidP="008654C1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2410" w:type="dxa"/>
          </w:tcPr>
          <w:p w:rsidR="00366C73" w:rsidRPr="00056D48" w:rsidRDefault="00056D48" w:rsidP="00056D48">
            <w:pPr>
              <w:ind w:right="-108"/>
              <w:jc w:val="left"/>
              <w:rPr>
                <w:sz w:val="24"/>
                <w:szCs w:val="24"/>
              </w:rPr>
            </w:pPr>
            <w:r w:rsidRPr="00056D48">
              <w:rPr>
                <w:sz w:val="24"/>
                <w:szCs w:val="24"/>
              </w:rPr>
              <w:t>Начальник управления  образования</w:t>
            </w:r>
            <w:r>
              <w:rPr>
                <w:sz w:val="24"/>
                <w:szCs w:val="24"/>
              </w:rPr>
              <w:t>;</w:t>
            </w:r>
            <w:r w:rsidR="00B82001">
              <w:rPr>
                <w:sz w:val="24"/>
                <w:szCs w:val="24"/>
              </w:rPr>
              <w:t xml:space="preserve"> заведующий информационно-организационным отделом; методисты управления </w:t>
            </w:r>
            <w:r w:rsidR="00B8200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394" w:type="dxa"/>
          </w:tcPr>
          <w:p w:rsidR="00366C73" w:rsidRDefault="00366C73" w:rsidP="008654C1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Разработка и согласование проектов нормативных право</w:t>
            </w:r>
            <w:r>
              <w:rPr>
                <w:rFonts w:cs="Times New Roman"/>
                <w:sz w:val="24"/>
                <w:szCs w:val="24"/>
                <w:lang w:eastAsia="ru-RU"/>
              </w:rPr>
              <w:t>вых актов, содержащих коррупцио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нные факторы</w:t>
            </w:r>
          </w:p>
        </w:tc>
        <w:tc>
          <w:tcPr>
            <w:tcW w:w="4819" w:type="dxa"/>
          </w:tcPr>
          <w:p w:rsidR="00366C73" w:rsidRPr="006D2DEC" w:rsidRDefault="00366C73" w:rsidP="008654C1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66C73" w:rsidRPr="006D2DEC" w:rsidRDefault="00366C73" w:rsidP="008654C1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366C73" w:rsidRPr="006D2DEC" w:rsidRDefault="00366C73" w:rsidP="008654C1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разработке проектов нормативных правовых актов институтов гражданского общества в формах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обсуждения, создания совместных рабочих групп;</w:t>
            </w:r>
          </w:p>
          <w:p w:rsidR="00366C73" w:rsidRPr="006D2DEC" w:rsidRDefault="00366C73" w:rsidP="008654C1">
            <w:pPr>
              <w:jc w:val="left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366C73" w:rsidRPr="006D2DEC" w:rsidRDefault="00366C73" w:rsidP="008654C1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66C73" w:rsidRPr="006D2DEC" w:rsidRDefault="00366C73" w:rsidP="008654C1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66C73" w:rsidRDefault="00366C73" w:rsidP="008654C1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66C73" w:rsidTr="00366C73">
        <w:trPr>
          <w:trHeight w:val="3393"/>
        </w:trPr>
        <w:tc>
          <w:tcPr>
            <w:tcW w:w="3227" w:type="dxa"/>
          </w:tcPr>
          <w:p w:rsidR="00366C73" w:rsidRDefault="00366C73" w:rsidP="00366C73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Представление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интересов управления образования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в судебных и иных органах власти</w:t>
            </w:r>
          </w:p>
        </w:tc>
        <w:tc>
          <w:tcPr>
            <w:tcW w:w="2410" w:type="dxa"/>
          </w:tcPr>
          <w:p w:rsidR="00366C73" w:rsidRDefault="00B82001" w:rsidP="00F51899">
            <w:pPr>
              <w:jc w:val="left"/>
              <w:rPr>
                <w:b/>
              </w:rPr>
            </w:pPr>
            <w:r w:rsidRPr="00056D48">
              <w:rPr>
                <w:sz w:val="24"/>
                <w:szCs w:val="24"/>
              </w:rPr>
              <w:t>Начальник управления  образования</w:t>
            </w:r>
            <w:r>
              <w:rPr>
                <w:sz w:val="24"/>
                <w:szCs w:val="24"/>
              </w:rPr>
              <w:t>; заведующий информационно-организационным отделом управления образования</w:t>
            </w:r>
          </w:p>
        </w:tc>
        <w:tc>
          <w:tcPr>
            <w:tcW w:w="4394" w:type="dxa"/>
          </w:tcPr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управления образования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6D2DEC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  <w:proofErr w:type="gramEnd"/>
          </w:p>
          <w:p w:rsidR="00366C73" w:rsidRDefault="00366C73" w:rsidP="00366C73">
            <w:pPr>
              <w:jc w:val="left"/>
              <w:rPr>
                <w:b/>
              </w:rPr>
            </w:pPr>
          </w:p>
        </w:tc>
        <w:tc>
          <w:tcPr>
            <w:tcW w:w="4819" w:type="dxa"/>
          </w:tcPr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публикация решений судов в системе обмена информации;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366C73" w:rsidRDefault="00056D48" w:rsidP="00F51899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366C73" w:rsidTr="00AA782C">
        <w:tc>
          <w:tcPr>
            <w:tcW w:w="3227" w:type="dxa"/>
          </w:tcPr>
          <w:p w:rsidR="00366C73" w:rsidRDefault="00056D48" w:rsidP="00056D48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(соглашений), заключаемых от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имени Управления образования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; подготовка по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ним заключений, замечаний и предложений; мониторинг исполнения договоров (соглашений))</w:t>
            </w:r>
          </w:p>
        </w:tc>
        <w:tc>
          <w:tcPr>
            <w:tcW w:w="2410" w:type="dxa"/>
          </w:tcPr>
          <w:p w:rsidR="00366C73" w:rsidRDefault="00B82001" w:rsidP="00B82001">
            <w:pPr>
              <w:jc w:val="left"/>
              <w:rPr>
                <w:b/>
              </w:rPr>
            </w:pPr>
            <w:r w:rsidRPr="00056D48">
              <w:rPr>
                <w:sz w:val="24"/>
                <w:szCs w:val="24"/>
              </w:rPr>
              <w:lastRenderedPageBreak/>
              <w:t>Начальник управления  образования</w:t>
            </w:r>
            <w:r>
              <w:rPr>
                <w:sz w:val="24"/>
                <w:szCs w:val="24"/>
              </w:rPr>
              <w:t xml:space="preserve">; заведующий информационно-организационным </w:t>
            </w:r>
            <w:r>
              <w:rPr>
                <w:sz w:val="24"/>
                <w:szCs w:val="24"/>
              </w:rPr>
              <w:lastRenderedPageBreak/>
              <w:t>отделом; методисты управления образования</w:t>
            </w:r>
          </w:p>
        </w:tc>
        <w:tc>
          <w:tcPr>
            <w:tcW w:w="4394" w:type="dxa"/>
          </w:tcPr>
          <w:p w:rsidR="00366C73" w:rsidRDefault="00056D48" w:rsidP="00056D48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4819" w:type="dxa"/>
          </w:tcPr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056D48" w:rsidRPr="006D2DEC" w:rsidRDefault="00056D48" w:rsidP="00056D48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6D48" w:rsidRPr="006D2DEC" w:rsidRDefault="00056D48" w:rsidP="00056D48">
            <w:pPr>
              <w:jc w:val="left"/>
              <w:rPr>
                <w:sz w:val="24"/>
                <w:szCs w:val="24"/>
              </w:rPr>
            </w:pPr>
            <w:r w:rsidRPr="006D2DEC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366C73" w:rsidRDefault="00366C73" w:rsidP="00366C73">
            <w:pPr>
              <w:jc w:val="left"/>
              <w:rPr>
                <w:b/>
              </w:rPr>
            </w:pPr>
          </w:p>
        </w:tc>
      </w:tr>
      <w:tr w:rsidR="00BA3B0A" w:rsidTr="00AA782C">
        <w:tc>
          <w:tcPr>
            <w:tcW w:w="3227" w:type="dxa"/>
          </w:tcPr>
          <w:p w:rsidR="00BA3B0A" w:rsidRPr="001841E8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</w:t>
            </w:r>
            <w:r w:rsidRPr="001841E8">
              <w:rPr>
                <w:rFonts w:cs="Times New Roman"/>
                <w:sz w:val="24"/>
                <w:szCs w:val="24"/>
                <w:lang w:eastAsia="ru-RU"/>
              </w:rPr>
              <w:t xml:space="preserve">областных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 федеральных </w:t>
            </w:r>
            <w:r w:rsidRPr="001841E8">
              <w:rPr>
                <w:rFonts w:cs="Times New Roman"/>
                <w:sz w:val="24"/>
                <w:szCs w:val="24"/>
                <w:lang w:eastAsia="ru-RU"/>
              </w:rPr>
              <w:t>целевых программ</w:t>
            </w:r>
          </w:p>
          <w:p w:rsidR="00BA3B0A" w:rsidRDefault="00BA3B0A" w:rsidP="00BA3B0A">
            <w:pPr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BA3B0A" w:rsidRDefault="00BA3B0A" w:rsidP="00BA3B0A">
            <w:pPr>
              <w:jc w:val="left"/>
              <w:rPr>
                <w:b/>
              </w:rPr>
            </w:pPr>
            <w:r w:rsidRPr="00056D48">
              <w:rPr>
                <w:sz w:val="24"/>
                <w:szCs w:val="24"/>
              </w:rPr>
              <w:t>Начальник управления  образования</w:t>
            </w:r>
            <w:r>
              <w:rPr>
                <w:sz w:val="24"/>
                <w:szCs w:val="24"/>
              </w:rPr>
              <w:t>; заведующий информационно-организационным отделом; методисты управления образования</w:t>
            </w:r>
          </w:p>
        </w:tc>
        <w:tc>
          <w:tcPr>
            <w:tcW w:w="4394" w:type="dxa"/>
          </w:tcPr>
          <w:p w:rsidR="00BA3B0A" w:rsidRPr="006D2DEC" w:rsidRDefault="00BA3B0A" w:rsidP="00BA3B0A">
            <w:pPr>
              <w:jc w:val="lef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bCs/>
                <w:sz w:val="24"/>
                <w:szCs w:val="24"/>
                <w:lang w:eastAsia="ru-RU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4819" w:type="dxa"/>
          </w:tcPr>
          <w:p w:rsidR="00BA3B0A" w:rsidRPr="006D2DEC" w:rsidRDefault="00BA3B0A" w:rsidP="00BA3B0A">
            <w:pPr>
              <w:jc w:val="lef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способа и сроков совершения действий служащим при осуществлении коррупционно-опасной функции</w:t>
            </w:r>
            <w:r w:rsidRPr="006D2DEC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bCs/>
                <w:sz w:val="24"/>
                <w:szCs w:val="24"/>
                <w:lang w:eastAsia="ru-RU"/>
              </w:rPr>
              <w:t>подписание заявления об отсутствии конфликта интересов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BA3B0A" w:rsidRDefault="00BA3B0A" w:rsidP="00BA3B0A">
            <w:pPr>
              <w:rPr>
                <w:b/>
              </w:rPr>
            </w:pPr>
          </w:p>
        </w:tc>
      </w:tr>
      <w:tr w:rsidR="00BA3B0A" w:rsidTr="00AA782C">
        <w:tc>
          <w:tcPr>
            <w:tcW w:w="3227" w:type="dxa"/>
          </w:tcPr>
          <w:p w:rsidR="00BA3B0A" w:rsidRDefault="00BA3B0A" w:rsidP="00BA3B0A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средств, предусмотренных </w:t>
            </w:r>
            <w:proofErr w:type="spellStart"/>
            <w:r w:rsidRPr="006D2DEC">
              <w:rPr>
                <w:rFonts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cs="Times New Roman"/>
                <w:sz w:val="24"/>
                <w:szCs w:val="24"/>
                <w:lang w:eastAsia="ru-RU"/>
              </w:rPr>
              <w:t>финансирование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возложенных на Управление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полномочий.</w:t>
            </w:r>
          </w:p>
        </w:tc>
        <w:tc>
          <w:tcPr>
            <w:tcW w:w="2410" w:type="dxa"/>
          </w:tcPr>
          <w:p w:rsidR="00BA3B0A" w:rsidRDefault="00DE22BE" w:rsidP="00411DEF">
            <w:pPr>
              <w:rPr>
                <w:b/>
              </w:rPr>
            </w:pPr>
            <w:r w:rsidRPr="00056D48">
              <w:rPr>
                <w:sz w:val="24"/>
                <w:szCs w:val="24"/>
              </w:rPr>
              <w:lastRenderedPageBreak/>
              <w:t>Начальник управления  образования</w:t>
            </w:r>
            <w:r w:rsidR="00F51899">
              <w:rPr>
                <w:sz w:val="24"/>
                <w:szCs w:val="24"/>
              </w:rPr>
              <w:t xml:space="preserve">,  </w:t>
            </w:r>
            <w:r w:rsidR="00F51899">
              <w:rPr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4394" w:type="dxa"/>
          </w:tcPr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При проверке правильности оформления поступивших на оплату первичных документов и их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-  уже были ранее оплачены; </w:t>
            </w:r>
          </w:p>
          <w:p w:rsidR="00BA3B0A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6D2DEC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Исключение необходимости личного взаимодействия (общения) служащих с гражданами и представителями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>организаций.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A3B0A" w:rsidRDefault="00BA3B0A" w:rsidP="00BA3B0A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A3B0A" w:rsidTr="00AA782C">
        <w:tc>
          <w:tcPr>
            <w:tcW w:w="3227" w:type="dxa"/>
          </w:tcPr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>Осуществление полномочий собственника (учредителя) в от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ношении подведомственных управлению образования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2410" w:type="dxa"/>
          </w:tcPr>
          <w:p w:rsidR="00BA3B0A" w:rsidRDefault="00DE22BE" w:rsidP="00411DEF">
            <w:pPr>
              <w:rPr>
                <w:b/>
              </w:rPr>
            </w:pPr>
            <w:r w:rsidRPr="00056D48">
              <w:rPr>
                <w:sz w:val="24"/>
                <w:szCs w:val="24"/>
              </w:rPr>
              <w:t>Начальник управления  образования</w:t>
            </w:r>
          </w:p>
        </w:tc>
        <w:tc>
          <w:tcPr>
            <w:tcW w:w="4394" w:type="dxa"/>
          </w:tcPr>
          <w:p w:rsidR="00BA3B0A" w:rsidRDefault="00BA3B0A" w:rsidP="00BA3B0A">
            <w:pPr>
              <w:tabs>
                <w:tab w:val="left" w:pos="281"/>
                <w:tab w:val="center" w:pos="2089"/>
              </w:tabs>
              <w:jc w:val="left"/>
              <w:rPr>
                <w:b/>
              </w:rPr>
            </w:pPr>
            <w:r w:rsidRPr="006D2DEC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6D2DEC">
              <w:rPr>
                <w:rFonts w:cs="Times New Roman"/>
                <w:bCs/>
                <w:sz w:val="24"/>
                <w:szCs w:val="24"/>
                <w:lang w:eastAsia="ru-RU"/>
              </w:rPr>
              <w:t>связи с полученным (обещанным) от них (иных заинтересованных лиц) вознаграждением.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819" w:type="dxa"/>
          </w:tcPr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6D2DEC">
              <w:rPr>
                <w:rFonts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подведомственных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учреждений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с участием представителей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BA3B0A" w:rsidRPr="006D2DEC" w:rsidRDefault="00BA3B0A" w:rsidP="00BA3B0A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A3B0A" w:rsidRPr="006D2DEC" w:rsidRDefault="00BA3B0A" w:rsidP="00BA3B0A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A3B0A" w:rsidTr="00AA782C">
        <w:tc>
          <w:tcPr>
            <w:tcW w:w="3227" w:type="dxa"/>
          </w:tcPr>
          <w:p w:rsidR="00DE22BE" w:rsidRPr="00DE22BE" w:rsidRDefault="00DE22BE" w:rsidP="00DE22BE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DE22BE">
              <w:rPr>
                <w:rFonts w:cs="Times New Roman"/>
                <w:sz w:val="24"/>
                <w:szCs w:val="24"/>
              </w:rPr>
              <w:t>Оказание муниципальных услуг</w:t>
            </w:r>
            <w:r w:rsidR="00F51899">
              <w:rPr>
                <w:rFonts w:cs="Times New Roman"/>
                <w:sz w:val="24"/>
                <w:szCs w:val="24"/>
              </w:rPr>
              <w:t>:</w:t>
            </w:r>
          </w:p>
          <w:p w:rsidR="002E6707" w:rsidRDefault="002E6707" w:rsidP="002E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D463F">
              <w:rPr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</w:t>
            </w:r>
            <w:r w:rsidRPr="009D463F">
              <w:rPr>
                <w:sz w:val="24"/>
                <w:szCs w:val="24"/>
              </w:rPr>
              <w:lastRenderedPageBreak/>
              <w:t>основного общего, среднего общего образования, а также дополнительного образования детей в муниципальных образовательных организациях Устюженского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2E6707" w:rsidRDefault="002E6707" w:rsidP="002E6707">
            <w:pPr>
              <w:rPr>
                <w:sz w:val="24"/>
                <w:szCs w:val="24"/>
              </w:rPr>
            </w:pP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 xml:space="preserve">«Предоставление информации </w:t>
            </w:r>
            <w:proofErr w:type="gramStart"/>
            <w:r w:rsidRPr="009D463F">
              <w:rPr>
                <w:sz w:val="24"/>
                <w:szCs w:val="24"/>
              </w:rPr>
              <w:t>об</w:t>
            </w:r>
            <w:proofErr w:type="gramEnd"/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 xml:space="preserve">образовательных </w:t>
            </w:r>
            <w:proofErr w:type="gramStart"/>
            <w:r w:rsidRPr="009D463F">
              <w:rPr>
                <w:sz w:val="24"/>
                <w:szCs w:val="24"/>
              </w:rPr>
              <w:t>программах</w:t>
            </w:r>
            <w:proofErr w:type="gramEnd"/>
            <w:r w:rsidRPr="009D463F">
              <w:rPr>
                <w:sz w:val="24"/>
                <w:szCs w:val="24"/>
              </w:rPr>
              <w:t xml:space="preserve"> и 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 xml:space="preserve">учебных </w:t>
            </w:r>
            <w:proofErr w:type="gramStart"/>
            <w:r w:rsidRPr="009D463F">
              <w:rPr>
                <w:sz w:val="24"/>
                <w:szCs w:val="24"/>
              </w:rPr>
              <w:t>планах</w:t>
            </w:r>
            <w:proofErr w:type="gramEnd"/>
            <w:r w:rsidRPr="009D463F">
              <w:rPr>
                <w:sz w:val="24"/>
                <w:szCs w:val="24"/>
              </w:rPr>
              <w:t xml:space="preserve">, рабочих 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proofErr w:type="gramStart"/>
            <w:r w:rsidRPr="009D463F">
              <w:rPr>
                <w:sz w:val="24"/>
                <w:szCs w:val="24"/>
              </w:rPr>
              <w:t>программах</w:t>
            </w:r>
            <w:proofErr w:type="gramEnd"/>
            <w:r w:rsidRPr="009D463F">
              <w:rPr>
                <w:sz w:val="24"/>
                <w:szCs w:val="24"/>
              </w:rPr>
              <w:t xml:space="preserve"> учебных курсов, 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 xml:space="preserve">предметов, дисциплин (модулей), 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 xml:space="preserve">годовых календарных учебных 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proofErr w:type="gramStart"/>
            <w:r w:rsidRPr="009D463F">
              <w:rPr>
                <w:sz w:val="24"/>
                <w:szCs w:val="24"/>
              </w:rPr>
              <w:t>графиках</w:t>
            </w:r>
            <w:proofErr w:type="gramEnd"/>
            <w:r w:rsidRPr="009D463F">
              <w:rPr>
                <w:sz w:val="24"/>
                <w:szCs w:val="24"/>
              </w:rPr>
              <w:t xml:space="preserve"> муниципальных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образовательных учреждений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Устюженского муниципального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района»</w:t>
            </w:r>
          </w:p>
          <w:p w:rsidR="00DE22BE" w:rsidRPr="00F9511B" w:rsidRDefault="00DE22BE" w:rsidP="00DE22BE">
            <w:pPr>
              <w:rPr>
                <w:rFonts w:cs="Times New Roman"/>
                <w:sz w:val="24"/>
                <w:szCs w:val="24"/>
              </w:rPr>
            </w:pP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«Прием заявлений, постановка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 xml:space="preserve">на учет и зачисление детей </w:t>
            </w:r>
            <w:proofErr w:type="gramStart"/>
            <w:r w:rsidRPr="009D463F">
              <w:rPr>
                <w:sz w:val="24"/>
                <w:szCs w:val="24"/>
              </w:rPr>
              <w:t>в</w:t>
            </w:r>
            <w:proofErr w:type="gramEnd"/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учреждения, реализующие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основную образовательную</w:t>
            </w:r>
          </w:p>
          <w:p w:rsidR="002E6707" w:rsidRPr="009D463F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 xml:space="preserve">программу </w:t>
            </w:r>
            <w:proofErr w:type="gramStart"/>
            <w:r w:rsidRPr="009D463F">
              <w:rPr>
                <w:sz w:val="24"/>
                <w:szCs w:val="24"/>
              </w:rPr>
              <w:t>дошкольного</w:t>
            </w:r>
            <w:proofErr w:type="gramEnd"/>
          </w:p>
          <w:p w:rsidR="00DE22BE" w:rsidRPr="002E6707" w:rsidRDefault="002E6707" w:rsidP="002E6707">
            <w:pPr>
              <w:rPr>
                <w:sz w:val="24"/>
                <w:szCs w:val="24"/>
              </w:rPr>
            </w:pPr>
            <w:r w:rsidRPr="009D463F">
              <w:rPr>
                <w:sz w:val="24"/>
                <w:szCs w:val="24"/>
              </w:rPr>
              <w:t>образования (детские сады)»</w:t>
            </w:r>
          </w:p>
          <w:p w:rsidR="00BA3B0A" w:rsidRDefault="00BA3B0A" w:rsidP="002E6707">
            <w:pPr>
              <w:rPr>
                <w:b/>
              </w:rPr>
            </w:pPr>
          </w:p>
        </w:tc>
        <w:tc>
          <w:tcPr>
            <w:tcW w:w="2410" w:type="dxa"/>
          </w:tcPr>
          <w:p w:rsidR="00BA3B0A" w:rsidRDefault="00DE22BE" w:rsidP="00DE22BE">
            <w:pPr>
              <w:jc w:val="left"/>
              <w:rPr>
                <w:b/>
              </w:rPr>
            </w:pPr>
            <w:r w:rsidRPr="00056D48">
              <w:rPr>
                <w:sz w:val="24"/>
                <w:szCs w:val="24"/>
              </w:rPr>
              <w:lastRenderedPageBreak/>
              <w:t>Начальник управления  образования</w:t>
            </w:r>
            <w:r>
              <w:rPr>
                <w:sz w:val="24"/>
                <w:szCs w:val="24"/>
              </w:rPr>
              <w:t xml:space="preserve">; заведующий информационно-организационным отделом; методисты </w:t>
            </w:r>
            <w:r>
              <w:rPr>
                <w:sz w:val="24"/>
                <w:szCs w:val="24"/>
              </w:rPr>
              <w:lastRenderedPageBreak/>
              <w:t>управления образования</w:t>
            </w:r>
          </w:p>
        </w:tc>
        <w:tc>
          <w:tcPr>
            <w:tcW w:w="4394" w:type="dxa"/>
          </w:tcPr>
          <w:p w:rsidR="00BA3B0A" w:rsidRDefault="00DE22BE" w:rsidP="00DE22BE">
            <w:pPr>
              <w:jc w:val="left"/>
              <w:rPr>
                <w:b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6D2DEC">
              <w:rPr>
                <w:rFonts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пр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и оказании муниципальной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 услуги.</w:t>
            </w:r>
          </w:p>
        </w:tc>
        <w:tc>
          <w:tcPr>
            <w:tcW w:w="4819" w:type="dxa"/>
          </w:tcPr>
          <w:p w:rsidR="00DE22BE" w:rsidRPr="006D2DEC" w:rsidRDefault="00DE22BE" w:rsidP="00DE22B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Нормативное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регулирование порядка оказания  муниципальной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DE22BE" w:rsidRPr="006D2DEC" w:rsidRDefault="00DE22BE" w:rsidP="00DE22BE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E22BE" w:rsidRPr="006D2DEC" w:rsidRDefault="00DE22BE" w:rsidP="00DE22B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администрации Устюженского муниципального района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Административного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регламента предоставления муниципальной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DE22BE" w:rsidRPr="006D2DEC" w:rsidRDefault="00DE22BE" w:rsidP="00DE22BE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E22BE" w:rsidRPr="006D2DEC" w:rsidRDefault="00DE22BE" w:rsidP="00DE22B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DE22BE" w:rsidRPr="006D2DEC" w:rsidRDefault="00DE22BE" w:rsidP="00DE22BE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E22BE" w:rsidRPr="006D2DEC" w:rsidRDefault="00DE22BE" w:rsidP="00DE22B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D2DEC">
              <w:rPr>
                <w:rFonts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Административного регламента оказания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2DEC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DE22BE" w:rsidRPr="006D2DEC" w:rsidRDefault="00DE22BE" w:rsidP="00DE22BE">
            <w:pPr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E22BE" w:rsidRPr="006D2DEC" w:rsidRDefault="00DE22BE" w:rsidP="00DE22B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E22BE" w:rsidRPr="006D2DEC" w:rsidRDefault="00DE22BE" w:rsidP="00DE22B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E22BE" w:rsidRPr="006D2DEC" w:rsidRDefault="00DE22BE" w:rsidP="00DE22BE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D2DEC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BA3B0A" w:rsidRDefault="00BA3B0A" w:rsidP="00366C73">
            <w:pPr>
              <w:jc w:val="left"/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  <w:bookmarkStart w:id="0" w:name="_GoBack"/>
      <w:bookmarkEnd w:id="0"/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1FCD"/>
    <w:rsid w:val="00002994"/>
    <w:rsid w:val="000172C2"/>
    <w:rsid w:val="00056321"/>
    <w:rsid w:val="00056D48"/>
    <w:rsid w:val="00086818"/>
    <w:rsid w:val="000B2300"/>
    <w:rsid w:val="000B621D"/>
    <w:rsid w:val="000C2C39"/>
    <w:rsid w:val="000C78B9"/>
    <w:rsid w:val="000E1F54"/>
    <w:rsid w:val="000E640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D6B0C"/>
    <w:rsid w:val="002E25A4"/>
    <w:rsid w:val="002E6707"/>
    <w:rsid w:val="003273E5"/>
    <w:rsid w:val="00366C73"/>
    <w:rsid w:val="0037094A"/>
    <w:rsid w:val="003A7F44"/>
    <w:rsid w:val="003E30C0"/>
    <w:rsid w:val="00411DEF"/>
    <w:rsid w:val="00453D16"/>
    <w:rsid w:val="00483243"/>
    <w:rsid w:val="004C6A51"/>
    <w:rsid w:val="004F59CC"/>
    <w:rsid w:val="00533FA5"/>
    <w:rsid w:val="00565AB7"/>
    <w:rsid w:val="0057411F"/>
    <w:rsid w:val="00585E24"/>
    <w:rsid w:val="005D1FCD"/>
    <w:rsid w:val="00613595"/>
    <w:rsid w:val="006E1244"/>
    <w:rsid w:val="006E277B"/>
    <w:rsid w:val="006E4672"/>
    <w:rsid w:val="006F5248"/>
    <w:rsid w:val="00724819"/>
    <w:rsid w:val="00752B81"/>
    <w:rsid w:val="00774A2B"/>
    <w:rsid w:val="0078068E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D1CA8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461AA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82001"/>
    <w:rsid w:val="00BA3B0A"/>
    <w:rsid w:val="00BE3DCD"/>
    <w:rsid w:val="00BF7BDB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E22BE"/>
    <w:rsid w:val="00DF5A63"/>
    <w:rsid w:val="00E13472"/>
    <w:rsid w:val="00E71F9C"/>
    <w:rsid w:val="00E8550B"/>
    <w:rsid w:val="00EA31D6"/>
    <w:rsid w:val="00EA38A4"/>
    <w:rsid w:val="00EB4172"/>
    <w:rsid w:val="00EE5E6B"/>
    <w:rsid w:val="00F403AF"/>
    <w:rsid w:val="00F51899"/>
    <w:rsid w:val="00FA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5E5A-88D3-40F2-BCB3-9E05ED34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4</cp:revision>
  <cp:lastPrinted>2017-11-21T12:52:00Z</cp:lastPrinted>
  <dcterms:created xsi:type="dcterms:W3CDTF">2018-06-26T10:42:00Z</dcterms:created>
  <dcterms:modified xsi:type="dcterms:W3CDTF">2019-02-21T07:31:00Z</dcterms:modified>
</cp:coreProperties>
</file>